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4928"/>
        <w:gridCol w:w="4929"/>
      </w:tblGrid>
      <w:tr w:rsidR="00BF099A">
        <w:tc>
          <w:tcPr>
            <w:tcW w:w="2500" w:type="pct"/>
          </w:tcPr>
          <w:p w:rsidR="00BF099A" w:rsidRDefault="00BF099A">
            <w:pPr>
              <w:tabs>
                <w:tab w:val="left" w:pos="1418"/>
              </w:tabs>
              <w:spacing w:after="0"/>
              <w:rPr>
                <w:b/>
                <w:sz w:val="16"/>
              </w:rPr>
            </w:pPr>
            <w:r>
              <w:rPr>
                <w:b/>
                <w:sz w:val="16"/>
              </w:rPr>
              <w:t>Contact:</w:t>
            </w:r>
            <w:r>
              <w:rPr>
                <w:b/>
                <w:sz w:val="16"/>
              </w:rPr>
              <w:tab/>
            </w:r>
            <w:r w:rsidR="00F56390">
              <w:rPr>
                <w:bCs/>
                <w:sz w:val="16"/>
              </w:rPr>
              <w:t>Martin Faulconbridge</w:t>
            </w:r>
          </w:p>
        </w:tc>
        <w:tc>
          <w:tcPr>
            <w:tcW w:w="2500" w:type="pct"/>
          </w:tcPr>
          <w:p w:rsidR="00BF099A" w:rsidRDefault="00BF099A">
            <w:pPr>
              <w:tabs>
                <w:tab w:val="left" w:pos="1418"/>
              </w:tabs>
              <w:spacing w:after="0"/>
              <w:rPr>
                <w:bCs/>
                <w:sz w:val="16"/>
              </w:rPr>
            </w:pPr>
            <w:r>
              <w:rPr>
                <w:b/>
                <w:sz w:val="16"/>
              </w:rPr>
              <w:t>Your ref:</w:t>
            </w:r>
            <w:r>
              <w:rPr>
                <w:b/>
                <w:sz w:val="16"/>
              </w:rPr>
              <w:tab/>
            </w:r>
          </w:p>
        </w:tc>
      </w:tr>
      <w:tr w:rsidR="00BF099A">
        <w:tc>
          <w:tcPr>
            <w:tcW w:w="2500" w:type="pct"/>
          </w:tcPr>
          <w:p w:rsidR="00BF099A" w:rsidRDefault="00BF099A">
            <w:pPr>
              <w:tabs>
                <w:tab w:val="left" w:pos="1418"/>
              </w:tabs>
              <w:spacing w:after="0"/>
              <w:rPr>
                <w:sz w:val="16"/>
              </w:rPr>
            </w:pPr>
            <w:r>
              <w:rPr>
                <w:b/>
                <w:bCs/>
                <w:sz w:val="16"/>
              </w:rPr>
              <w:t>E-mail:</w:t>
            </w:r>
            <w:r w:rsidR="00F56390">
              <w:rPr>
                <w:sz w:val="16"/>
              </w:rPr>
              <w:t xml:space="preserve">  </w:t>
            </w:r>
            <w:r w:rsidR="00F56390">
              <w:rPr>
                <w:sz w:val="16"/>
              </w:rPr>
              <w:tab/>
              <w:t>Martin.Faulconbridge</w:t>
            </w:r>
            <w:r>
              <w:rPr>
                <w:sz w:val="16"/>
              </w:rPr>
              <w:t>@midsussex.gov.uk</w:t>
            </w:r>
          </w:p>
        </w:tc>
        <w:tc>
          <w:tcPr>
            <w:tcW w:w="2500" w:type="pct"/>
          </w:tcPr>
          <w:p w:rsidR="00BF099A" w:rsidRDefault="00BF099A">
            <w:pPr>
              <w:tabs>
                <w:tab w:val="left" w:pos="1418"/>
              </w:tabs>
              <w:spacing w:after="0"/>
              <w:rPr>
                <w:b/>
                <w:sz w:val="16"/>
              </w:rPr>
            </w:pPr>
            <w:r>
              <w:rPr>
                <w:b/>
                <w:sz w:val="16"/>
              </w:rPr>
              <w:t>Our ref:</w:t>
            </w:r>
            <w:r w:rsidR="00D02118">
              <w:rPr>
                <w:b/>
                <w:sz w:val="16"/>
              </w:rPr>
              <w:t xml:space="preserve"> PR1868/JH/MF</w:t>
            </w:r>
            <w:r>
              <w:rPr>
                <w:bCs/>
                <w:sz w:val="16"/>
              </w:rPr>
              <w:tab/>
            </w:r>
          </w:p>
        </w:tc>
      </w:tr>
      <w:tr w:rsidR="00BF099A">
        <w:tc>
          <w:tcPr>
            <w:tcW w:w="2500" w:type="pct"/>
          </w:tcPr>
          <w:p w:rsidR="00BF099A" w:rsidRDefault="00BF099A">
            <w:pPr>
              <w:tabs>
                <w:tab w:val="left" w:pos="1418"/>
              </w:tabs>
              <w:spacing w:after="0"/>
              <w:rPr>
                <w:sz w:val="16"/>
              </w:rPr>
            </w:pPr>
            <w:r>
              <w:rPr>
                <w:b/>
                <w:bCs/>
                <w:sz w:val="16"/>
              </w:rPr>
              <w:t>Direct line:</w:t>
            </w:r>
            <w:r w:rsidR="00F56390">
              <w:rPr>
                <w:sz w:val="16"/>
              </w:rPr>
              <w:tab/>
              <w:t>01444 477478</w:t>
            </w:r>
          </w:p>
        </w:tc>
        <w:tc>
          <w:tcPr>
            <w:tcW w:w="2500" w:type="pct"/>
          </w:tcPr>
          <w:p w:rsidR="00BF099A" w:rsidRDefault="00BF099A">
            <w:pPr>
              <w:tabs>
                <w:tab w:val="left" w:pos="1418"/>
              </w:tabs>
              <w:spacing w:after="0"/>
              <w:rPr>
                <w:b/>
                <w:sz w:val="16"/>
              </w:rPr>
            </w:pPr>
            <w:r>
              <w:rPr>
                <w:b/>
                <w:sz w:val="16"/>
              </w:rPr>
              <w:t>Date:</w:t>
            </w:r>
            <w:r w:rsidR="00D02118">
              <w:rPr>
                <w:b/>
                <w:sz w:val="16"/>
              </w:rPr>
              <w:t xml:space="preserve"> 11 September 2014</w:t>
            </w:r>
            <w:r>
              <w:rPr>
                <w:bCs/>
                <w:sz w:val="16"/>
              </w:rPr>
              <w:tab/>
            </w:r>
          </w:p>
        </w:tc>
      </w:tr>
      <w:tr w:rsidR="00BF099A">
        <w:tc>
          <w:tcPr>
            <w:tcW w:w="2500" w:type="pct"/>
          </w:tcPr>
          <w:p w:rsidR="00BF099A" w:rsidRDefault="00BF099A">
            <w:pPr>
              <w:tabs>
                <w:tab w:val="left" w:pos="1418"/>
              </w:tabs>
              <w:spacing w:after="0"/>
              <w:rPr>
                <w:sz w:val="16"/>
              </w:rPr>
            </w:pPr>
            <w:r>
              <w:rPr>
                <w:b/>
                <w:bCs/>
                <w:sz w:val="16"/>
              </w:rPr>
              <w:t>Out of hours:</w:t>
            </w:r>
            <w:r>
              <w:rPr>
                <w:b/>
                <w:bCs/>
                <w:sz w:val="16"/>
              </w:rPr>
              <w:tab/>
            </w:r>
            <w:r>
              <w:rPr>
                <w:sz w:val="16"/>
              </w:rPr>
              <w:t>07702 034236</w:t>
            </w:r>
          </w:p>
        </w:tc>
        <w:tc>
          <w:tcPr>
            <w:tcW w:w="2500" w:type="pct"/>
          </w:tcPr>
          <w:p w:rsidR="00BF099A" w:rsidRDefault="00BF099A">
            <w:pPr>
              <w:tabs>
                <w:tab w:val="left" w:pos="1418"/>
              </w:tabs>
              <w:spacing w:after="0"/>
              <w:rPr>
                <w:b/>
                <w:sz w:val="16"/>
              </w:rPr>
            </w:pPr>
          </w:p>
        </w:tc>
      </w:tr>
    </w:tbl>
    <w:p w:rsidR="00BF099A" w:rsidRDefault="00BF099A">
      <w:pPr>
        <w:pStyle w:val="Heading1"/>
        <w:ind w:left="0" w:right="0" w:firstLine="0"/>
        <w:rPr>
          <w:b w:val="0"/>
          <w:bCs w:val="0"/>
          <w:sz w:val="2"/>
        </w:rPr>
      </w:pPr>
    </w:p>
    <w:p w:rsidR="00BF099A" w:rsidRDefault="00BF099A">
      <w:pPr>
        <w:pStyle w:val="Heading1"/>
        <w:pBdr>
          <w:top w:val="single" w:sz="4" w:space="1" w:color="auto"/>
          <w:left w:val="single" w:sz="4" w:space="0" w:color="auto"/>
          <w:bottom w:val="single" w:sz="4" w:space="0" w:color="auto"/>
          <w:right w:val="single" w:sz="4" w:space="0" w:color="auto"/>
        </w:pBdr>
        <w:ind w:left="0" w:right="0" w:firstLine="0"/>
        <w:rPr>
          <w:sz w:val="42"/>
        </w:rPr>
      </w:pPr>
      <w:r>
        <w:rPr>
          <w:sz w:val="42"/>
        </w:rPr>
        <w:t>PRESS RELEASE</w:t>
      </w:r>
    </w:p>
    <w:p w:rsidR="00BF099A" w:rsidRDefault="00BF099A">
      <w:pPr>
        <w:spacing w:after="0" w:line="360" w:lineRule="auto"/>
        <w:rPr>
          <w:sz w:val="24"/>
        </w:rPr>
      </w:pPr>
    </w:p>
    <w:p w:rsidR="00BF099A" w:rsidRDefault="00D44B8A">
      <w:pPr>
        <w:spacing w:after="0" w:line="360" w:lineRule="auto"/>
        <w:rPr>
          <w:b/>
          <w:bCs/>
          <w:sz w:val="40"/>
        </w:rPr>
      </w:pPr>
      <w:r>
        <w:rPr>
          <w:b/>
          <w:bCs/>
          <w:sz w:val="40"/>
        </w:rPr>
        <w:t xml:space="preserve">Mid Sussex District </w:t>
      </w:r>
      <w:r w:rsidR="00864B33">
        <w:rPr>
          <w:b/>
          <w:bCs/>
          <w:sz w:val="40"/>
        </w:rPr>
        <w:t xml:space="preserve">Council </w:t>
      </w:r>
      <w:r>
        <w:rPr>
          <w:b/>
          <w:bCs/>
          <w:sz w:val="40"/>
        </w:rPr>
        <w:t xml:space="preserve">paves the way for </w:t>
      </w:r>
      <w:r w:rsidR="00864B33">
        <w:rPr>
          <w:b/>
          <w:bCs/>
          <w:sz w:val="40"/>
        </w:rPr>
        <w:t>Ashplats Wood</w:t>
      </w:r>
      <w:r>
        <w:rPr>
          <w:b/>
          <w:bCs/>
          <w:sz w:val="40"/>
        </w:rPr>
        <w:t xml:space="preserve"> improvements</w:t>
      </w:r>
      <w:bookmarkStart w:id="0" w:name="_GoBack"/>
      <w:bookmarkEnd w:id="0"/>
    </w:p>
    <w:p w:rsidR="00BF099A" w:rsidRDefault="00BF099A">
      <w:pPr>
        <w:spacing w:after="0" w:line="360" w:lineRule="auto"/>
        <w:rPr>
          <w:sz w:val="24"/>
        </w:rPr>
      </w:pPr>
    </w:p>
    <w:p w:rsidR="00BF099A" w:rsidRDefault="00313EDA">
      <w:pPr>
        <w:spacing w:after="0" w:line="360" w:lineRule="auto"/>
        <w:rPr>
          <w:b/>
          <w:bCs/>
          <w:sz w:val="28"/>
        </w:rPr>
      </w:pPr>
      <w:r>
        <w:rPr>
          <w:b/>
          <w:bCs/>
          <w:sz w:val="28"/>
        </w:rPr>
        <w:t>Mid Sussex District Council</w:t>
      </w:r>
      <w:r w:rsidR="006A09D1">
        <w:rPr>
          <w:b/>
          <w:bCs/>
          <w:sz w:val="28"/>
        </w:rPr>
        <w:t>, in partnership with</w:t>
      </w:r>
      <w:r w:rsidR="008E67A2">
        <w:rPr>
          <w:b/>
          <w:bCs/>
          <w:sz w:val="28"/>
        </w:rPr>
        <w:t xml:space="preserve"> E</w:t>
      </w:r>
      <w:r w:rsidR="006A09D1">
        <w:rPr>
          <w:b/>
          <w:bCs/>
          <w:sz w:val="28"/>
        </w:rPr>
        <w:t>ast Grinstead War Memorial Limited</w:t>
      </w:r>
      <w:r w:rsidR="008E67A2">
        <w:rPr>
          <w:b/>
          <w:bCs/>
          <w:sz w:val="28"/>
        </w:rPr>
        <w:t>,</w:t>
      </w:r>
      <w:r>
        <w:rPr>
          <w:b/>
          <w:bCs/>
          <w:sz w:val="28"/>
        </w:rPr>
        <w:t xml:space="preserve"> has announced </w:t>
      </w:r>
      <w:r w:rsidR="007D7B2F">
        <w:rPr>
          <w:b/>
          <w:bCs/>
          <w:sz w:val="28"/>
        </w:rPr>
        <w:t xml:space="preserve">a series of improvements to the pathways at </w:t>
      </w:r>
      <w:r w:rsidR="00E00255">
        <w:rPr>
          <w:b/>
          <w:bCs/>
          <w:sz w:val="28"/>
        </w:rPr>
        <w:t xml:space="preserve">the popular </w:t>
      </w:r>
      <w:r>
        <w:rPr>
          <w:b/>
          <w:bCs/>
          <w:sz w:val="28"/>
        </w:rPr>
        <w:t>Ashpla</w:t>
      </w:r>
      <w:r w:rsidR="007D7B2F">
        <w:rPr>
          <w:b/>
          <w:bCs/>
          <w:sz w:val="28"/>
        </w:rPr>
        <w:t>ts W</w:t>
      </w:r>
      <w:r>
        <w:rPr>
          <w:b/>
          <w:bCs/>
          <w:sz w:val="28"/>
        </w:rPr>
        <w:t xml:space="preserve">ood </w:t>
      </w:r>
      <w:r w:rsidR="006A09D1">
        <w:rPr>
          <w:b/>
          <w:bCs/>
          <w:sz w:val="28"/>
        </w:rPr>
        <w:t xml:space="preserve">and East Court </w:t>
      </w:r>
      <w:r>
        <w:rPr>
          <w:b/>
          <w:bCs/>
          <w:sz w:val="28"/>
        </w:rPr>
        <w:t xml:space="preserve">in East Grinstead </w:t>
      </w:r>
      <w:r w:rsidR="00864B33">
        <w:rPr>
          <w:b/>
          <w:bCs/>
          <w:sz w:val="28"/>
        </w:rPr>
        <w:t>that will</w:t>
      </w:r>
      <w:r w:rsidR="007D7B2F">
        <w:rPr>
          <w:b/>
          <w:bCs/>
          <w:sz w:val="28"/>
        </w:rPr>
        <w:t xml:space="preserve"> make it easier for local</w:t>
      </w:r>
      <w:r w:rsidR="00AD6ADF">
        <w:rPr>
          <w:b/>
          <w:bCs/>
          <w:sz w:val="28"/>
        </w:rPr>
        <w:t xml:space="preserve"> people to enjoy </w:t>
      </w:r>
      <w:r w:rsidR="008E67A2">
        <w:rPr>
          <w:b/>
          <w:bCs/>
          <w:sz w:val="28"/>
        </w:rPr>
        <w:t xml:space="preserve">the </w:t>
      </w:r>
      <w:r w:rsidR="007D7B2F">
        <w:rPr>
          <w:b/>
          <w:bCs/>
          <w:sz w:val="28"/>
        </w:rPr>
        <w:t xml:space="preserve">beautiful </w:t>
      </w:r>
      <w:r w:rsidR="00AD6ADF">
        <w:rPr>
          <w:b/>
          <w:bCs/>
          <w:sz w:val="28"/>
        </w:rPr>
        <w:t xml:space="preserve">woodland </w:t>
      </w:r>
      <w:r w:rsidR="007D7B2F">
        <w:rPr>
          <w:b/>
          <w:bCs/>
          <w:sz w:val="28"/>
        </w:rPr>
        <w:t>surroundings.</w:t>
      </w:r>
    </w:p>
    <w:p w:rsidR="00BF099A" w:rsidRDefault="00BF099A">
      <w:pPr>
        <w:spacing w:after="0" w:line="360" w:lineRule="auto"/>
        <w:rPr>
          <w:sz w:val="24"/>
        </w:rPr>
      </w:pPr>
    </w:p>
    <w:p w:rsidR="00875B44" w:rsidRDefault="008E67A2">
      <w:pPr>
        <w:spacing w:after="0" w:line="360" w:lineRule="auto"/>
        <w:rPr>
          <w:sz w:val="24"/>
        </w:rPr>
      </w:pPr>
      <w:r w:rsidRPr="008E67A2">
        <w:rPr>
          <w:sz w:val="24"/>
        </w:rPr>
        <w:t xml:space="preserve">Ashplats Wood </w:t>
      </w:r>
      <w:r w:rsidR="006A09D1">
        <w:rPr>
          <w:sz w:val="24"/>
        </w:rPr>
        <w:t xml:space="preserve">and </w:t>
      </w:r>
      <w:r w:rsidR="0063499F">
        <w:rPr>
          <w:sz w:val="24"/>
        </w:rPr>
        <w:t xml:space="preserve">the grounds of </w:t>
      </w:r>
      <w:r w:rsidR="006A09D1">
        <w:rPr>
          <w:sz w:val="24"/>
        </w:rPr>
        <w:t xml:space="preserve">East Court </w:t>
      </w:r>
      <w:r w:rsidRPr="008E67A2">
        <w:rPr>
          <w:sz w:val="24"/>
        </w:rPr>
        <w:t>is</w:t>
      </w:r>
      <w:r w:rsidR="006A09D1">
        <w:rPr>
          <w:sz w:val="24"/>
        </w:rPr>
        <w:t xml:space="preserve"> a 40 hectare site</w:t>
      </w:r>
      <w:r w:rsidRPr="008E67A2">
        <w:rPr>
          <w:sz w:val="24"/>
        </w:rPr>
        <w:t xml:space="preserve"> managed and maintained by Mid Sussex District Council on behalf of E</w:t>
      </w:r>
      <w:r w:rsidR="006A09D1">
        <w:rPr>
          <w:sz w:val="24"/>
        </w:rPr>
        <w:t>ast Grinstead War Memorial Limited</w:t>
      </w:r>
      <w:r w:rsidRPr="008E67A2">
        <w:rPr>
          <w:sz w:val="24"/>
        </w:rPr>
        <w:t xml:space="preserve"> and both parties have recently agreed to extend the arrangement for the next 125 years by signing a new lease. This long-term partnership will enable the Council to progress with future improvements that will make Ash</w:t>
      </w:r>
      <w:r>
        <w:rPr>
          <w:sz w:val="24"/>
        </w:rPr>
        <w:t>plats Wood an even more attractive</w:t>
      </w:r>
      <w:r w:rsidRPr="008E67A2">
        <w:rPr>
          <w:sz w:val="24"/>
        </w:rPr>
        <w:t xml:space="preserve"> place for </w:t>
      </w:r>
      <w:r w:rsidR="006A09D1">
        <w:rPr>
          <w:sz w:val="24"/>
        </w:rPr>
        <w:t xml:space="preserve">families, </w:t>
      </w:r>
      <w:r w:rsidRPr="008E67A2">
        <w:rPr>
          <w:sz w:val="24"/>
        </w:rPr>
        <w:t>dog walkers and nature lovers.</w:t>
      </w:r>
      <w:r>
        <w:rPr>
          <w:sz w:val="24"/>
        </w:rPr>
        <w:br/>
      </w:r>
      <w:r>
        <w:rPr>
          <w:sz w:val="24"/>
        </w:rPr>
        <w:br/>
      </w:r>
      <w:r w:rsidR="007D7B2F">
        <w:rPr>
          <w:sz w:val="24"/>
        </w:rPr>
        <w:t xml:space="preserve">The Council has </w:t>
      </w:r>
      <w:r>
        <w:rPr>
          <w:sz w:val="24"/>
        </w:rPr>
        <w:t xml:space="preserve">already started work on </w:t>
      </w:r>
      <w:r w:rsidR="007D7B2F">
        <w:rPr>
          <w:sz w:val="24"/>
        </w:rPr>
        <w:t xml:space="preserve">a </w:t>
      </w:r>
      <w:r w:rsidR="00AD6ADF">
        <w:rPr>
          <w:sz w:val="24"/>
        </w:rPr>
        <w:t xml:space="preserve">surfaced </w:t>
      </w:r>
      <w:r w:rsidR="007B7F06">
        <w:rPr>
          <w:sz w:val="24"/>
        </w:rPr>
        <w:t>2.5</w:t>
      </w:r>
      <w:r>
        <w:rPr>
          <w:sz w:val="24"/>
        </w:rPr>
        <w:t xml:space="preserve"> kilometre</w:t>
      </w:r>
      <w:r w:rsidR="007D7B2F">
        <w:rPr>
          <w:sz w:val="24"/>
        </w:rPr>
        <w:t xml:space="preserve"> circular path that will p</w:t>
      </w:r>
      <w:r w:rsidR="006A09D1">
        <w:rPr>
          <w:sz w:val="24"/>
        </w:rPr>
        <w:t xml:space="preserve">rovide an all year round surface </w:t>
      </w:r>
      <w:r w:rsidR="008275C8">
        <w:rPr>
          <w:sz w:val="24"/>
        </w:rPr>
        <w:t>for</w:t>
      </w:r>
      <w:r w:rsidR="008B4258">
        <w:rPr>
          <w:sz w:val="24"/>
        </w:rPr>
        <w:t xml:space="preserve"> local</w:t>
      </w:r>
      <w:r w:rsidR="0063499F">
        <w:rPr>
          <w:sz w:val="24"/>
        </w:rPr>
        <w:t xml:space="preserve"> people</w:t>
      </w:r>
      <w:r w:rsidR="008275C8">
        <w:rPr>
          <w:sz w:val="24"/>
        </w:rPr>
        <w:t>. The majority of the path will be laid with cr</w:t>
      </w:r>
      <w:r>
        <w:rPr>
          <w:sz w:val="24"/>
        </w:rPr>
        <w:t>ushed stone, i</w:t>
      </w:r>
      <w:r w:rsidR="0052159D">
        <w:rPr>
          <w:sz w:val="24"/>
        </w:rPr>
        <w:t>n the meadows</w:t>
      </w:r>
      <w:r w:rsidR="00684C8E">
        <w:rPr>
          <w:sz w:val="24"/>
        </w:rPr>
        <w:t xml:space="preserve">, </w:t>
      </w:r>
      <w:r w:rsidR="008275C8">
        <w:rPr>
          <w:sz w:val="24"/>
        </w:rPr>
        <w:t>strip</w:t>
      </w:r>
      <w:r w:rsidR="00A36B86">
        <w:rPr>
          <w:sz w:val="24"/>
        </w:rPr>
        <w:t>s</w:t>
      </w:r>
      <w:r w:rsidR="008275C8">
        <w:rPr>
          <w:sz w:val="24"/>
        </w:rPr>
        <w:t xml:space="preserve"> will be mown to create smooth walkway</w:t>
      </w:r>
      <w:r w:rsidR="00A36B86">
        <w:rPr>
          <w:sz w:val="24"/>
        </w:rPr>
        <w:t>s</w:t>
      </w:r>
      <w:r w:rsidR="0052159D">
        <w:rPr>
          <w:sz w:val="24"/>
        </w:rPr>
        <w:t xml:space="preserve"> and in areas </w:t>
      </w:r>
      <w:r w:rsidR="004D5EBC">
        <w:rPr>
          <w:sz w:val="24"/>
        </w:rPr>
        <w:t xml:space="preserve">of the woodland </w:t>
      </w:r>
      <w:r w:rsidR="0052159D">
        <w:rPr>
          <w:sz w:val="24"/>
        </w:rPr>
        <w:t xml:space="preserve">that </w:t>
      </w:r>
      <w:r w:rsidR="004D5EBC">
        <w:rPr>
          <w:sz w:val="24"/>
        </w:rPr>
        <w:t xml:space="preserve">can become </w:t>
      </w:r>
      <w:r w:rsidR="0052159D">
        <w:rPr>
          <w:sz w:val="24"/>
        </w:rPr>
        <w:t>wet and boggy there will be raised boardwalks and bridges to allow walkers to</w:t>
      </w:r>
      <w:r>
        <w:rPr>
          <w:sz w:val="24"/>
        </w:rPr>
        <w:t xml:space="preserve"> have access even in wet weather</w:t>
      </w:r>
      <w:r w:rsidR="0052159D">
        <w:rPr>
          <w:sz w:val="24"/>
        </w:rPr>
        <w:t xml:space="preserve">. </w:t>
      </w:r>
      <w:r w:rsidR="005952F1">
        <w:rPr>
          <w:sz w:val="24"/>
        </w:rPr>
        <w:br/>
      </w:r>
      <w:r w:rsidR="005952F1">
        <w:rPr>
          <w:sz w:val="24"/>
        </w:rPr>
        <w:br/>
      </w:r>
      <w:r w:rsidR="00C5616E">
        <w:rPr>
          <w:sz w:val="24"/>
        </w:rPr>
        <w:t xml:space="preserve">“Ashplats Wood </w:t>
      </w:r>
      <w:r w:rsidR="006A09D1">
        <w:rPr>
          <w:sz w:val="24"/>
        </w:rPr>
        <w:t xml:space="preserve">in the High Weald Area of Outstanding Natural Beauty </w:t>
      </w:r>
      <w:r w:rsidR="00AA4933">
        <w:rPr>
          <w:sz w:val="24"/>
        </w:rPr>
        <w:t xml:space="preserve">is </w:t>
      </w:r>
      <w:r w:rsidR="006A09D1">
        <w:rPr>
          <w:sz w:val="24"/>
        </w:rPr>
        <w:t>a stunning part</w:t>
      </w:r>
      <w:r w:rsidR="00AA4933">
        <w:rPr>
          <w:sz w:val="24"/>
        </w:rPr>
        <w:t xml:space="preserve"> of Mid Sussex and is a great place to enjoy a relaxing walk,” said Councillor Norman Webster, Cabinet Member for Planning. “</w:t>
      </w:r>
      <w:r w:rsidR="00A36B86">
        <w:rPr>
          <w:sz w:val="24"/>
        </w:rPr>
        <w:t xml:space="preserve">The location is so convenient because it’s </w:t>
      </w:r>
      <w:r w:rsidR="004554E1">
        <w:rPr>
          <w:sz w:val="24"/>
        </w:rPr>
        <w:t xml:space="preserve">right </w:t>
      </w:r>
      <w:r w:rsidR="005952F1">
        <w:rPr>
          <w:sz w:val="24"/>
        </w:rPr>
        <w:t xml:space="preserve">on the edge of town but </w:t>
      </w:r>
      <w:r w:rsidR="00A36B86">
        <w:rPr>
          <w:sz w:val="24"/>
        </w:rPr>
        <w:t>it’s so quiet that you would never know East Grinstead was so close</w:t>
      </w:r>
      <w:r w:rsidR="004554E1">
        <w:rPr>
          <w:sz w:val="24"/>
        </w:rPr>
        <w:t>.</w:t>
      </w:r>
      <w:r w:rsidR="005952F1">
        <w:rPr>
          <w:sz w:val="24"/>
        </w:rPr>
        <w:t xml:space="preserve"> </w:t>
      </w:r>
      <w:r w:rsidR="004554E1">
        <w:rPr>
          <w:sz w:val="24"/>
        </w:rPr>
        <w:t>T</w:t>
      </w:r>
      <w:r w:rsidR="0063499F">
        <w:rPr>
          <w:sz w:val="24"/>
        </w:rPr>
        <w:t>his</w:t>
      </w:r>
      <w:r w:rsidR="005952F1">
        <w:rPr>
          <w:sz w:val="24"/>
        </w:rPr>
        <w:t xml:space="preserve"> </w:t>
      </w:r>
      <w:r w:rsidR="003577F9">
        <w:rPr>
          <w:sz w:val="24"/>
        </w:rPr>
        <w:t xml:space="preserve">ancient </w:t>
      </w:r>
      <w:r w:rsidR="005952F1">
        <w:rPr>
          <w:sz w:val="24"/>
        </w:rPr>
        <w:t xml:space="preserve">woodland is </w:t>
      </w:r>
      <w:r w:rsidR="004554E1">
        <w:rPr>
          <w:sz w:val="24"/>
        </w:rPr>
        <w:t>such a</w:t>
      </w:r>
      <w:r w:rsidR="005952F1">
        <w:rPr>
          <w:sz w:val="24"/>
        </w:rPr>
        <w:t xml:space="preserve"> </w:t>
      </w:r>
      <w:r w:rsidR="00AA4933">
        <w:rPr>
          <w:sz w:val="24"/>
        </w:rPr>
        <w:t xml:space="preserve">tranquil </w:t>
      </w:r>
      <w:r w:rsidR="004554E1">
        <w:rPr>
          <w:sz w:val="24"/>
        </w:rPr>
        <w:t xml:space="preserve">place to be </w:t>
      </w:r>
      <w:r w:rsidR="005952F1">
        <w:rPr>
          <w:sz w:val="24"/>
        </w:rPr>
        <w:t xml:space="preserve">and </w:t>
      </w:r>
      <w:r w:rsidR="00AA4933">
        <w:rPr>
          <w:sz w:val="24"/>
        </w:rPr>
        <w:t xml:space="preserve">provides the perfect </w:t>
      </w:r>
      <w:r w:rsidR="00AA4933">
        <w:rPr>
          <w:sz w:val="24"/>
        </w:rPr>
        <w:lastRenderedPageBreak/>
        <w:t xml:space="preserve">escape from the </w:t>
      </w:r>
      <w:r w:rsidR="004D5EBC">
        <w:rPr>
          <w:sz w:val="24"/>
        </w:rPr>
        <w:t>intense pace of day-to-day</w:t>
      </w:r>
      <w:r w:rsidR="0030714C">
        <w:rPr>
          <w:sz w:val="24"/>
        </w:rPr>
        <w:t xml:space="preserve"> life.</w:t>
      </w:r>
      <w:r w:rsidR="0030714C">
        <w:rPr>
          <w:sz w:val="24"/>
        </w:rPr>
        <w:br/>
      </w:r>
      <w:r w:rsidR="0030714C">
        <w:rPr>
          <w:sz w:val="24"/>
        </w:rPr>
        <w:br/>
        <w:t>“</w:t>
      </w:r>
      <w:r w:rsidR="004554E1">
        <w:rPr>
          <w:sz w:val="24"/>
        </w:rPr>
        <w:t>Our new pathways will allow visitors to reach previously inaccessible areas and see everything that Ashplats Wood has to offer. From closed woodland to open fields, natural ponds to wildflower meadows, there’s something for everyone to enjoy.”</w:t>
      </w:r>
      <w:r w:rsidR="00017EDC">
        <w:rPr>
          <w:sz w:val="24"/>
        </w:rPr>
        <w:br/>
      </w:r>
      <w:r w:rsidR="00684C8E">
        <w:rPr>
          <w:sz w:val="24"/>
        </w:rPr>
        <w:br/>
      </w:r>
      <w:r w:rsidR="00670B76" w:rsidRPr="00670B76">
        <w:rPr>
          <w:sz w:val="24"/>
        </w:rPr>
        <w:t xml:space="preserve">Research in 2007/8 found that increased recreational use at </w:t>
      </w:r>
      <w:r w:rsidR="00670B76">
        <w:rPr>
          <w:sz w:val="24"/>
        </w:rPr>
        <w:t xml:space="preserve">the </w:t>
      </w:r>
      <w:r w:rsidR="00670B76" w:rsidRPr="00670B76">
        <w:rPr>
          <w:sz w:val="24"/>
        </w:rPr>
        <w:t>nearby Ashdown Forest has the potential to disturb the protected birds, such as the Da</w:t>
      </w:r>
      <w:r>
        <w:rPr>
          <w:sz w:val="24"/>
        </w:rPr>
        <w:t>rtford warbler and European n</w:t>
      </w:r>
      <w:r w:rsidR="00670B76" w:rsidRPr="00670B76">
        <w:rPr>
          <w:sz w:val="24"/>
        </w:rPr>
        <w:t xml:space="preserve">ightjar, which nest on </w:t>
      </w:r>
      <w:r w:rsidR="00670B76">
        <w:rPr>
          <w:sz w:val="24"/>
        </w:rPr>
        <w:t xml:space="preserve">the ground. Natural England </w:t>
      </w:r>
      <w:r w:rsidR="004D5EBC">
        <w:rPr>
          <w:sz w:val="24"/>
        </w:rPr>
        <w:t xml:space="preserve">has </w:t>
      </w:r>
      <w:r w:rsidR="00670B76" w:rsidRPr="00670B76">
        <w:rPr>
          <w:sz w:val="24"/>
        </w:rPr>
        <w:t xml:space="preserve">advised </w:t>
      </w:r>
      <w:r w:rsidR="00670B76">
        <w:rPr>
          <w:sz w:val="24"/>
        </w:rPr>
        <w:t xml:space="preserve">the Council </w:t>
      </w:r>
      <w:r w:rsidR="00670B76" w:rsidRPr="00670B76">
        <w:rPr>
          <w:sz w:val="24"/>
        </w:rPr>
        <w:t xml:space="preserve">that one </w:t>
      </w:r>
      <w:r w:rsidR="008B4258">
        <w:rPr>
          <w:sz w:val="24"/>
        </w:rPr>
        <w:t>of the best ways to protect Ashdown F</w:t>
      </w:r>
      <w:r w:rsidR="00670B76" w:rsidRPr="00670B76">
        <w:rPr>
          <w:sz w:val="24"/>
        </w:rPr>
        <w:t>orest from increasing visitor numbers is to provide alternative areas for people to visit.</w:t>
      </w:r>
      <w:r w:rsidR="00670B76">
        <w:rPr>
          <w:sz w:val="24"/>
        </w:rPr>
        <w:br/>
      </w:r>
      <w:r w:rsidR="00670B76">
        <w:rPr>
          <w:sz w:val="24"/>
        </w:rPr>
        <w:br/>
      </w:r>
      <w:r>
        <w:rPr>
          <w:sz w:val="24"/>
        </w:rPr>
        <w:t xml:space="preserve">Working with </w:t>
      </w:r>
      <w:r w:rsidR="003577F9">
        <w:rPr>
          <w:sz w:val="24"/>
        </w:rPr>
        <w:t xml:space="preserve">East Grinstead </w:t>
      </w:r>
      <w:r>
        <w:rPr>
          <w:sz w:val="24"/>
        </w:rPr>
        <w:t>War Memorial</w:t>
      </w:r>
      <w:r w:rsidR="003577F9">
        <w:rPr>
          <w:sz w:val="24"/>
        </w:rPr>
        <w:t xml:space="preserve"> Limited</w:t>
      </w:r>
      <w:r>
        <w:rPr>
          <w:sz w:val="24"/>
        </w:rPr>
        <w:t xml:space="preserve">, </w:t>
      </w:r>
      <w:r w:rsidR="00670B76" w:rsidRPr="00670B76">
        <w:rPr>
          <w:sz w:val="24"/>
        </w:rPr>
        <w:t>Mid Sussex District Council has identified Ashplats Wood as an area of Suitable Alterna</w:t>
      </w:r>
      <w:r w:rsidR="00670B76">
        <w:rPr>
          <w:sz w:val="24"/>
        </w:rPr>
        <w:t>tive Natural Greenspace (SANG)</w:t>
      </w:r>
      <w:r>
        <w:rPr>
          <w:sz w:val="24"/>
        </w:rPr>
        <w:t xml:space="preserve"> to the Ashdown Forest</w:t>
      </w:r>
      <w:r w:rsidR="0030080F">
        <w:rPr>
          <w:sz w:val="24"/>
        </w:rPr>
        <w:t xml:space="preserve"> and these improvements will encourage </w:t>
      </w:r>
      <w:r w:rsidR="00684C8E">
        <w:rPr>
          <w:sz w:val="24"/>
        </w:rPr>
        <w:t>people to visit the wood</w:t>
      </w:r>
      <w:r w:rsidR="0030080F">
        <w:rPr>
          <w:sz w:val="24"/>
        </w:rPr>
        <w:t xml:space="preserve">, helping to protect Ashdown Forest in the longer term. </w:t>
      </w:r>
      <w:r w:rsidR="0063499F">
        <w:rPr>
          <w:sz w:val="24"/>
        </w:rPr>
        <w:t xml:space="preserve">Further improvements are planned for the future and Mid Sussex </w:t>
      </w:r>
      <w:r w:rsidR="000D61C4">
        <w:rPr>
          <w:sz w:val="24"/>
        </w:rPr>
        <w:t>District Counc</w:t>
      </w:r>
      <w:r w:rsidR="0063499F">
        <w:rPr>
          <w:sz w:val="24"/>
        </w:rPr>
        <w:t xml:space="preserve">il and </w:t>
      </w:r>
      <w:r w:rsidR="000D61C4" w:rsidRPr="000D61C4">
        <w:rPr>
          <w:sz w:val="24"/>
        </w:rPr>
        <w:t xml:space="preserve">East Grinstead War Memorial Limited </w:t>
      </w:r>
      <w:r w:rsidR="0063499F">
        <w:rPr>
          <w:sz w:val="24"/>
        </w:rPr>
        <w:t xml:space="preserve">will consult with the </w:t>
      </w:r>
      <w:r w:rsidR="000D61C4">
        <w:rPr>
          <w:sz w:val="24"/>
        </w:rPr>
        <w:t xml:space="preserve">Town Council </w:t>
      </w:r>
      <w:r w:rsidR="0063499F">
        <w:rPr>
          <w:sz w:val="24"/>
        </w:rPr>
        <w:t xml:space="preserve">and other interested groups to agree </w:t>
      </w:r>
      <w:r w:rsidR="0030080F">
        <w:rPr>
          <w:sz w:val="24"/>
        </w:rPr>
        <w:t xml:space="preserve">a </w:t>
      </w:r>
      <w:r w:rsidR="000D61C4">
        <w:rPr>
          <w:sz w:val="24"/>
        </w:rPr>
        <w:t xml:space="preserve">rolling </w:t>
      </w:r>
      <w:r w:rsidR="0030080F">
        <w:rPr>
          <w:sz w:val="24"/>
        </w:rPr>
        <w:t>10 year conservation and management plan.</w:t>
      </w:r>
      <w:r w:rsidR="003577F9">
        <w:rPr>
          <w:sz w:val="24"/>
        </w:rPr>
        <w:br/>
      </w:r>
      <w:r w:rsidR="003577F9">
        <w:rPr>
          <w:sz w:val="24"/>
        </w:rPr>
        <w:br/>
        <w:t>“We are delighted that this new lease for most of the East Court Estate has been successfully concluded,” said Phillip Baker</w:t>
      </w:r>
      <w:r w:rsidR="004F691C">
        <w:rPr>
          <w:sz w:val="24"/>
        </w:rPr>
        <w:t>, Chairman of E</w:t>
      </w:r>
      <w:r w:rsidR="003577F9">
        <w:rPr>
          <w:sz w:val="24"/>
        </w:rPr>
        <w:t xml:space="preserve">ast Grinstead War Memorial Limited. “The arrangement will ensure a significant and steady </w:t>
      </w:r>
      <w:r w:rsidR="00D14E10">
        <w:rPr>
          <w:sz w:val="24"/>
        </w:rPr>
        <w:t>flow of funds over coming decades that will not only finance scheduled improvements to the major paths in the short term, but will also be available to maintain the Estate well into the 22</w:t>
      </w:r>
      <w:r w:rsidR="00D14E10" w:rsidRPr="00D14E10">
        <w:rPr>
          <w:sz w:val="24"/>
          <w:vertAlign w:val="superscript"/>
        </w:rPr>
        <w:t>nd</w:t>
      </w:r>
      <w:r w:rsidR="00D14E10">
        <w:rPr>
          <w:sz w:val="24"/>
        </w:rPr>
        <w:t xml:space="preserve"> century. The future of East Court and Ashplats Wood as a green open space for the people of East Grinstead is now secured.”</w:t>
      </w:r>
    </w:p>
    <w:p w:rsidR="00BF099A" w:rsidRDefault="00D14E10">
      <w:pPr>
        <w:spacing w:after="0" w:line="360" w:lineRule="auto"/>
        <w:rPr>
          <w:sz w:val="24"/>
        </w:rPr>
      </w:pPr>
      <w:r>
        <w:rPr>
          <w:sz w:val="24"/>
        </w:rPr>
        <w:br/>
      </w:r>
      <w:r w:rsidR="006E211B">
        <w:rPr>
          <w:sz w:val="24"/>
        </w:rPr>
        <w:t>For more information about the plan</w:t>
      </w:r>
      <w:r w:rsidR="006D6E0A">
        <w:rPr>
          <w:sz w:val="24"/>
        </w:rPr>
        <w:t>ned improvement works at Ashplats</w:t>
      </w:r>
      <w:r w:rsidR="006E211B">
        <w:rPr>
          <w:sz w:val="24"/>
        </w:rPr>
        <w:t xml:space="preserve"> Wood contact the Mid Sussex District Council Landscapes team on </w:t>
      </w:r>
      <w:r w:rsidR="008B4258">
        <w:rPr>
          <w:sz w:val="24"/>
        </w:rPr>
        <w:t xml:space="preserve">01444 477392 or email </w:t>
      </w:r>
      <w:hyperlink r:id="rId7" w:history="1">
        <w:r w:rsidR="008B4258" w:rsidRPr="007164EB">
          <w:rPr>
            <w:rStyle w:val="Hyperlink"/>
            <w:sz w:val="24"/>
          </w:rPr>
          <w:t>parksopenspaces@midsussex.gov.uk</w:t>
        </w:r>
      </w:hyperlink>
      <w:r w:rsidR="008B4258">
        <w:rPr>
          <w:sz w:val="24"/>
        </w:rPr>
        <w:t xml:space="preserve">. </w:t>
      </w:r>
    </w:p>
    <w:p w:rsidR="00BF099A" w:rsidRDefault="00BF099A">
      <w:pPr>
        <w:spacing w:after="0" w:line="360" w:lineRule="auto"/>
        <w:rPr>
          <w:sz w:val="24"/>
        </w:rPr>
      </w:pPr>
    </w:p>
    <w:p w:rsidR="00BF099A" w:rsidRDefault="00BF099A">
      <w:pPr>
        <w:pStyle w:val="Heading4"/>
        <w:pBdr>
          <w:bottom w:val="single" w:sz="4" w:space="1" w:color="auto"/>
        </w:pBdr>
        <w:spacing w:after="0" w:afterAutospacing="0" w:line="360" w:lineRule="auto"/>
        <w:jc w:val="left"/>
      </w:pPr>
      <w:r>
        <w:t>ENDS</w:t>
      </w:r>
    </w:p>
    <w:p w:rsidR="00BF099A" w:rsidRDefault="00BF099A">
      <w:pPr>
        <w:spacing w:after="0" w:line="360" w:lineRule="auto"/>
      </w:pPr>
    </w:p>
    <w:p w:rsidR="00F56390" w:rsidRDefault="00BF099A">
      <w:pPr>
        <w:spacing w:after="0" w:line="360" w:lineRule="auto"/>
        <w:rPr>
          <w:b/>
          <w:bCs/>
          <w:sz w:val="18"/>
        </w:rPr>
      </w:pPr>
      <w:r>
        <w:rPr>
          <w:sz w:val="18"/>
        </w:rPr>
        <w:t xml:space="preserve">For more information please contact </w:t>
      </w:r>
      <w:r w:rsidR="00F56390">
        <w:rPr>
          <w:b/>
          <w:bCs/>
          <w:sz w:val="18"/>
        </w:rPr>
        <w:t xml:space="preserve">Martin Faulconbridge on 01444 477478 or </w:t>
      </w:r>
      <w:hyperlink r:id="rId8" w:history="1">
        <w:r w:rsidR="00C5616E" w:rsidRPr="007164EB">
          <w:rPr>
            <w:rStyle w:val="Hyperlink"/>
            <w:b/>
            <w:bCs/>
            <w:sz w:val="18"/>
          </w:rPr>
          <w:t>Martin.Faulconbridge@midsussex.gov.uk</w:t>
        </w:r>
      </w:hyperlink>
      <w:r w:rsidR="00C5616E">
        <w:rPr>
          <w:b/>
          <w:bCs/>
          <w:sz w:val="18"/>
        </w:rPr>
        <w:br/>
      </w:r>
      <w:r w:rsidR="00C5616E">
        <w:rPr>
          <w:b/>
          <w:bCs/>
          <w:sz w:val="18"/>
        </w:rPr>
        <w:lastRenderedPageBreak/>
        <w:br/>
        <w:t>Notes to Editors</w:t>
      </w:r>
      <w:r w:rsidR="00C5616E">
        <w:rPr>
          <w:b/>
          <w:bCs/>
          <w:sz w:val="18"/>
        </w:rPr>
        <w:br/>
      </w:r>
      <w:r w:rsidR="00C5616E">
        <w:rPr>
          <w:b/>
          <w:bCs/>
          <w:sz w:val="18"/>
        </w:rPr>
        <w:br/>
      </w:r>
      <w:r w:rsidR="00C5616E">
        <w:rPr>
          <w:bCs/>
          <w:sz w:val="18"/>
        </w:rPr>
        <w:t>The creation of Suitable Alternative Natural Greenspace (</w:t>
      </w:r>
      <w:r w:rsidR="00C5616E" w:rsidRPr="00C5616E">
        <w:rPr>
          <w:bCs/>
          <w:sz w:val="18"/>
        </w:rPr>
        <w:t>SANG</w:t>
      </w:r>
      <w:r w:rsidR="00C5616E">
        <w:rPr>
          <w:bCs/>
          <w:sz w:val="18"/>
        </w:rPr>
        <w:t>)</w:t>
      </w:r>
      <w:r w:rsidR="00C5616E" w:rsidRPr="00C5616E">
        <w:rPr>
          <w:bCs/>
          <w:sz w:val="18"/>
        </w:rPr>
        <w:t xml:space="preserve"> at Ashplats Wood is part of the Council’s wider strategy to provide Ashdown Forest with greater protection from new housing and any resulting increase in visitor numbers. Developers that want to build new housing within 7km of Ashdown Forest </w:t>
      </w:r>
      <w:r w:rsidR="00A36B86">
        <w:rPr>
          <w:bCs/>
          <w:sz w:val="18"/>
        </w:rPr>
        <w:t xml:space="preserve">need to </w:t>
      </w:r>
      <w:r w:rsidR="00C5616E" w:rsidRPr="00C5616E">
        <w:rPr>
          <w:bCs/>
          <w:sz w:val="18"/>
        </w:rPr>
        <w:t xml:space="preserve">prove they can mitigate any potential impact on the forest. They must do this by making a financial contribution to a Strategic Access Management and Monitoring (SAMM) strategy that will help manage visitor behaviour and monitor protected birds at Ashdown Forest, </w:t>
      </w:r>
      <w:r w:rsidR="0030080F">
        <w:rPr>
          <w:bCs/>
          <w:sz w:val="18"/>
        </w:rPr>
        <w:t xml:space="preserve">and </w:t>
      </w:r>
      <w:r w:rsidR="00C5616E" w:rsidRPr="00C5616E">
        <w:rPr>
          <w:bCs/>
          <w:sz w:val="18"/>
        </w:rPr>
        <w:t>by providing a suitable recreation area within the development that will provide local people with an alternative to the forest, or by making financial contributions towards the improvement of the strategic SANG site at Ashplats Wood.</w:t>
      </w:r>
    </w:p>
    <w:sectPr w:rsidR="00F56390">
      <w:headerReference w:type="first" r:id="rId9"/>
      <w:footerReference w:type="first" r:id="rId10"/>
      <w:pgSz w:w="11909" w:h="16834" w:code="9"/>
      <w:pgMar w:top="1134" w:right="1134" w:bottom="851" w:left="1134" w:header="284" w:footer="284"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F9" w:rsidRDefault="003577F9">
      <w:pPr>
        <w:spacing w:after="0"/>
      </w:pPr>
      <w:r>
        <w:separator/>
      </w:r>
    </w:p>
  </w:endnote>
  <w:endnote w:type="continuationSeparator" w:id="0">
    <w:p w:rsidR="003577F9" w:rsidRDefault="00357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F9" w:rsidRDefault="003577F9">
    <w:pPr>
      <w:pStyle w:val="Footer"/>
      <w:pBdr>
        <w:bottom w:val="single" w:sz="12" w:space="1" w:color="auto"/>
      </w:pBdr>
      <w:tabs>
        <w:tab w:val="clear" w:pos="4153"/>
        <w:tab w:val="clear" w:pos="8306"/>
      </w:tabs>
      <w:spacing w:after="0"/>
      <w:ind w:right="83"/>
      <w:rPr>
        <w:sz w:val="2"/>
      </w:rPr>
    </w:pPr>
    <w:r>
      <w:rPr>
        <w:sz w:val="2"/>
      </w:rPr>
      <w:tab/>
    </w:r>
  </w:p>
  <w:p w:rsidR="003577F9" w:rsidRDefault="003577F9">
    <w:pPr>
      <w:pStyle w:val="Footer"/>
      <w:tabs>
        <w:tab w:val="clear" w:pos="4153"/>
        <w:tab w:val="clear" w:pos="8306"/>
        <w:tab w:val="center" w:pos="4820"/>
        <w:tab w:val="left" w:pos="5040"/>
        <w:tab w:val="left" w:pos="5760"/>
        <w:tab w:val="left" w:pos="8092"/>
      </w:tabs>
      <w:spacing w:after="0"/>
      <w:rPr>
        <w:b/>
        <w:bCs/>
        <w:sz w:val="2"/>
      </w:rPr>
    </w:pPr>
  </w:p>
  <w:tbl>
    <w:tblPr>
      <w:tblW w:w="0" w:type="auto"/>
      <w:tblLook w:val="0000" w:firstRow="0" w:lastRow="0" w:firstColumn="0" w:lastColumn="0" w:noHBand="0" w:noVBand="0"/>
    </w:tblPr>
    <w:tblGrid>
      <w:gridCol w:w="3103"/>
      <w:gridCol w:w="3654"/>
      <w:gridCol w:w="3100"/>
    </w:tblGrid>
    <w:tr w:rsidR="003577F9">
      <w:trPr>
        <w:cantSplit/>
      </w:trPr>
      <w:tc>
        <w:tcPr>
          <w:tcW w:w="3103" w:type="dxa"/>
        </w:tcPr>
        <w:p w:rsidR="003577F9" w:rsidRDefault="003577F9">
          <w:pPr>
            <w:pStyle w:val="Footer"/>
            <w:tabs>
              <w:tab w:val="clear" w:pos="4153"/>
              <w:tab w:val="clear" w:pos="8306"/>
            </w:tabs>
            <w:spacing w:after="0"/>
            <w:rPr>
              <w:sz w:val="16"/>
            </w:rPr>
          </w:pPr>
          <w:r>
            <w:rPr>
              <w:b/>
              <w:bCs/>
              <w:sz w:val="16"/>
            </w:rPr>
            <w:t>Corporate Communications</w:t>
          </w:r>
        </w:p>
      </w:tc>
      <w:tc>
        <w:tcPr>
          <w:tcW w:w="3654" w:type="dxa"/>
          <w:vMerge w:val="restart"/>
        </w:tcPr>
        <w:p w:rsidR="003577F9" w:rsidRDefault="003577F9">
          <w:pPr>
            <w:pStyle w:val="Footer"/>
            <w:tabs>
              <w:tab w:val="clear" w:pos="4153"/>
              <w:tab w:val="clear" w:pos="8306"/>
            </w:tabs>
            <w:spacing w:after="0"/>
            <w:jc w:val="center"/>
            <w:rPr>
              <w:position w:val="6"/>
              <w:sz w:val="16"/>
            </w:rPr>
          </w:pPr>
          <w:r>
            <w:rPr>
              <w:noProof/>
              <w:position w:val="6"/>
              <w:sz w:val="16"/>
              <w:lang w:eastAsia="en-GB"/>
            </w:rPr>
            <w:drawing>
              <wp:inline distT="0" distB="0" distL="0" distR="0">
                <wp:extent cx="635000" cy="440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40055"/>
                        </a:xfrm>
                        <a:prstGeom prst="rect">
                          <a:avLst/>
                        </a:prstGeom>
                        <a:noFill/>
                        <a:ln>
                          <a:noFill/>
                        </a:ln>
                      </pic:spPr>
                    </pic:pic>
                  </a:graphicData>
                </a:graphic>
              </wp:inline>
            </w:drawing>
          </w:r>
          <w:r>
            <w:rPr>
              <w:noProof/>
              <w:position w:val="6"/>
              <w:sz w:val="16"/>
              <w:lang w:eastAsia="en-GB"/>
            </w:rPr>
            <w:drawing>
              <wp:inline distT="0" distB="0" distL="0" distR="0">
                <wp:extent cx="482600" cy="355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355600"/>
                        </a:xfrm>
                        <a:prstGeom prst="rect">
                          <a:avLst/>
                        </a:prstGeom>
                        <a:noFill/>
                        <a:ln>
                          <a:noFill/>
                        </a:ln>
                      </pic:spPr>
                    </pic:pic>
                  </a:graphicData>
                </a:graphic>
              </wp:inline>
            </w:drawing>
          </w:r>
        </w:p>
      </w:tc>
      <w:tc>
        <w:tcPr>
          <w:tcW w:w="3100" w:type="dxa"/>
        </w:tcPr>
        <w:p w:rsidR="003577F9" w:rsidRDefault="003577F9">
          <w:pPr>
            <w:pStyle w:val="Footer"/>
            <w:tabs>
              <w:tab w:val="clear" w:pos="4153"/>
              <w:tab w:val="clear" w:pos="8306"/>
            </w:tabs>
            <w:spacing w:after="0"/>
            <w:jc w:val="right"/>
            <w:rPr>
              <w:b/>
              <w:sz w:val="16"/>
            </w:rPr>
          </w:pPr>
          <w:r>
            <w:rPr>
              <w:b/>
              <w:sz w:val="16"/>
            </w:rPr>
            <w:t>Chief Executive</w:t>
          </w:r>
        </w:p>
      </w:tc>
    </w:tr>
    <w:tr w:rsidR="003577F9">
      <w:trPr>
        <w:cantSplit/>
      </w:trPr>
      <w:tc>
        <w:tcPr>
          <w:tcW w:w="3103" w:type="dxa"/>
        </w:tcPr>
        <w:p w:rsidR="003577F9" w:rsidRDefault="003577F9">
          <w:pPr>
            <w:pStyle w:val="Footer"/>
            <w:tabs>
              <w:tab w:val="clear" w:pos="4153"/>
              <w:tab w:val="clear" w:pos="8306"/>
            </w:tabs>
            <w:spacing w:after="0"/>
            <w:rPr>
              <w:sz w:val="16"/>
            </w:rPr>
          </w:pPr>
          <w:r>
            <w:rPr>
              <w:sz w:val="16"/>
            </w:rPr>
            <w:t>Diane Talbot</w:t>
          </w:r>
        </w:p>
        <w:p w:rsidR="003577F9" w:rsidRDefault="003577F9">
          <w:pPr>
            <w:pStyle w:val="Footer"/>
            <w:tabs>
              <w:tab w:val="clear" w:pos="4153"/>
              <w:tab w:val="clear" w:pos="8306"/>
            </w:tabs>
            <w:spacing w:after="0"/>
            <w:rPr>
              <w:sz w:val="16"/>
            </w:rPr>
          </w:pPr>
          <w:r w:rsidRPr="0045027D">
            <w:rPr>
              <w:sz w:val="16"/>
            </w:rPr>
            <w:t>Martin Faulconbridge</w:t>
          </w:r>
        </w:p>
      </w:tc>
      <w:tc>
        <w:tcPr>
          <w:tcW w:w="3654" w:type="dxa"/>
          <w:vMerge/>
        </w:tcPr>
        <w:p w:rsidR="003577F9" w:rsidRDefault="003577F9">
          <w:pPr>
            <w:pStyle w:val="Footer"/>
            <w:tabs>
              <w:tab w:val="clear" w:pos="4153"/>
              <w:tab w:val="clear" w:pos="8306"/>
            </w:tabs>
            <w:spacing w:after="0"/>
            <w:jc w:val="center"/>
            <w:rPr>
              <w:position w:val="6"/>
              <w:sz w:val="16"/>
            </w:rPr>
          </w:pPr>
        </w:p>
      </w:tc>
      <w:tc>
        <w:tcPr>
          <w:tcW w:w="3100" w:type="dxa"/>
        </w:tcPr>
        <w:p w:rsidR="003577F9" w:rsidRDefault="003577F9">
          <w:pPr>
            <w:pStyle w:val="Footer"/>
            <w:tabs>
              <w:tab w:val="clear" w:pos="4153"/>
              <w:tab w:val="clear" w:pos="8306"/>
            </w:tabs>
            <w:spacing w:after="0"/>
            <w:jc w:val="right"/>
            <w:rPr>
              <w:sz w:val="16"/>
            </w:rPr>
          </w:pPr>
          <w:r>
            <w:rPr>
              <w:bCs/>
              <w:sz w:val="16"/>
            </w:rPr>
            <w:t>Kathryn Hall</w:t>
          </w:r>
        </w:p>
      </w:tc>
    </w:tr>
    <w:tr w:rsidR="003577F9">
      <w:trPr>
        <w:cantSplit/>
      </w:trPr>
      <w:tc>
        <w:tcPr>
          <w:tcW w:w="3103" w:type="dxa"/>
        </w:tcPr>
        <w:p w:rsidR="003577F9" w:rsidRDefault="003577F9">
          <w:pPr>
            <w:pStyle w:val="Footer"/>
            <w:tabs>
              <w:tab w:val="clear" w:pos="4153"/>
              <w:tab w:val="clear" w:pos="8306"/>
            </w:tabs>
            <w:spacing w:after="0"/>
            <w:rPr>
              <w:bCs/>
              <w:sz w:val="16"/>
            </w:rPr>
          </w:pPr>
          <w:r>
            <w:rPr>
              <w:bCs/>
              <w:sz w:val="16"/>
            </w:rPr>
            <w:t>Julie Blackstock</w:t>
          </w:r>
        </w:p>
      </w:tc>
      <w:tc>
        <w:tcPr>
          <w:tcW w:w="3654" w:type="dxa"/>
          <w:vMerge/>
        </w:tcPr>
        <w:p w:rsidR="003577F9" w:rsidRDefault="003577F9">
          <w:pPr>
            <w:pStyle w:val="Footer"/>
            <w:tabs>
              <w:tab w:val="clear" w:pos="4153"/>
              <w:tab w:val="clear" w:pos="8306"/>
            </w:tabs>
            <w:spacing w:after="0"/>
            <w:jc w:val="center"/>
            <w:rPr>
              <w:bCs/>
              <w:position w:val="6"/>
              <w:sz w:val="16"/>
            </w:rPr>
          </w:pPr>
        </w:p>
      </w:tc>
      <w:tc>
        <w:tcPr>
          <w:tcW w:w="3100" w:type="dxa"/>
        </w:tcPr>
        <w:p w:rsidR="003577F9" w:rsidRDefault="003577F9">
          <w:pPr>
            <w:pStyle w:val="Footer"/>
            <w:tabs>
              <w:tab w:val="clear" w:pos="4153"/>
              <w:tab w:val="clear" w:pos="8306"/>
            </w:tabs>
            <w:spacing w:after="0"/>
            <w:jc w:val="right"/>
            <w:rPr>
              <w:bCs/>
              <w:sz w:val="16"/>
            </w:rPr>
          </w:pPr>
        </w:p>
      </w:tc>
    </w:tr>
    <w:tr w:rsidR="003577F9">
      <w:trPr>
        <w:cantSplit/>
      </w:trPr>
      <w:tc>
        <w:tcPr>
          <w:tcW w:w="3103" w:type="dxa"/>
        </w:tcPr>
        <w:p w:rsidR="003577F9" w:rsidRDefault="003577F9">
          <w:pPr>
            <w:pStyle w:val="Footer"/>
            <w:tabs>
              <w:tab w:val="clear" w:pos="4153"/>
              <w:tab w:val="clear" w:pos="8306"/>
            </w:tabs>
            <w:spacing w:after="0"/>
            <w:rPr>
              <w:bCs/>
              <w:sz w:val="16"/>
            </w:rPr>
          </w:pPr>
        </w:p>
      </w:tc>
      <w:tc>
        <w:tcPr>
          <w:tcW w:w="3654" w:type="dxa"/>
          <w:vMerge/>
        </w:tcPr>
        <w:p w:rsidR="003577F9" w:rsidRDefault="003577F9">
          <w:pPr>
            <w:pStyle w:val="Footer"/>
            <w:tabs>
              <w:tab w:val="clear" w:pos="4153"/>
              <w:tab w:val="clear" w:pos="8306"/>
            </w:tabs>
            <w:spacing w:after="0"/>
            <w:jc w:val="center"/>
            <w:rPr>
              <w:bCs/>
              <w:position w:val="6"/>
              <w:sz w:val="16"/>
            </w:rPr>
          </w:pPr>
        </w:p>
      </w:tc>
      <w:tc>
        <w:tcPr>
          <w:tcW w:w="3100" w:type="dxa"/>
        </w:tcPr>
        <w:p w:rsidR="003577F9" w:rsidRDefault="003577F9">
          <w:pPr>
            <w:pStyle w:val="Footer"/>
            <w:tabs>
              <w:tab w:val="clear" w:pos="4153"/>
              <w:tab w:val="clear" w:pos="8306"/>
            </w:tabs>
            <w:spacing w:after="0"/>
            <w:jc w:val="right"/>
            <w:rPr>
              <w:bCs/>
              <w:sz w:val="16"/>
            </w:rPr>
          </w:pPr>
        </w:p>
      </w:tc>
    </w:tr>
    <w:tr w:rsidR="003577F9">
      <w:trPr>
        <w:cantSplit/>
        <w:trHeight w:val="67"/>
      </w:trPr>
      <w:tc>
        <w:tcPr>
          <w:tcW w:w="3103" w:type="dxa"/>
        </w:tcPr>
        <w:p w:rsidR="003577F9" w:rsidRDefault="003577F9">
          <w:pPr>
            <w:pStyle w:val="Footer"/>
            <w:tabs>
              <w:tab w:val="clear" w:pos="4153"/>
              <w:tab w:val="clear" w:pos="8306"/>
            </w:tabs>
            <w:spacing w:after="0"/>
            <w:rPr>
              <w:bCs/>
              <w:sz w:val="16"/>
            </w:rPr>
          </w:pPr>
        </w:p>
      </w:tc>
      <w:tc>
        <w:tcPr>
          <w:tcW w:w="3654" w:type="dxa"/>
          <w:vMerge/>
        </w:tcPr>
        <w:p w:rsidR="003577F9" w:rsidRDefault="003577F9">
          <w:pPr>
            <w:pStyle w:val="Footer"/>
            <w:tabs>
              <w:tab w:val="clear" w:pos="4153"/>
              <w:tab w:val="clear" w:pos="8306"/>
            </w:tabs>
            <w:spacing w:after="0"/>
            <w:jc w:val="center"/>
            <w:rPr>
              <w:bCs/>
              <w:position w:val="6"/>
              <w:sz w:val="16"/>
            </w:rPr>
          </w:pPr>
        </w:p>
      </w:tc>
      <w:tc>
        <w:tcPr>
          <w:tcW w:w="3100" w:type="dxa"/>
        </w:tcPr>
        <w:p w:rsidR="003577F9" w:rsidRDefault="003577F9">
          <w:pPr>
            <w:pStyle w:val="Footer"/>
            <w:tabs>
              <w:tab w:val="clear" w:pos="4153"/>
              <w:tab w:val="clear" w:pos="8306"/>
            </w:tabs>
            <w:spacing w:after="0"/>
            <w:jc w:val="right"/>
            <w:rPr>
              <w:bCs/>
              <w:sz w:val="16"/>
            </w:rPr>
          </w:pPr>
        </w:p>
      </w:tc>
    </w:tr>
    <w:tr w:rsidR="003577F9">
      <w:trPr>
        <w:cantSplit/>
      </w:trPr>
      <w:tc>
        <w:tcPr>
          <w:tcW w:w="3103" w:type="dxa"/>
        </w:tcPr>
        <w:p w:rsidR="003577F9" w:rsidRDefault="003577F9">
          <w:pPr>
            <w:pStyle w:val="Footer"/>
            <w:tabs>
              <w:tab w:val="clear" w:pos="4153"/>
              <w:tab w:val="clear" w:pos="8306"/>
            </w:tabs>
            <w:spacing w:after="0"/>
            <w:rPr>
              <w:bCs/>
              <w:sz w:val="16"/>
            </w:rPr>
          </w:pPr>
        </w:p>
      </w:tc>
      <w:tc>
        <w:tcPr>
          <w:tcW w:w="3654" w:type="dxa"/>
        </w:tcPr>
        <w:p w:rsidR="003577F9" w:rsidRDefault="003577F9">
          <w:pPr>
            <w:pStyle w:val="Footer"/>
            <w:tabs>
              <w:tab w:val="clear" w:pos="4153"/>
              <w:tab w:val="clear" w:pos="8306"/>
            </w:tabs>
            <w:spacing w:after="0"/>
            <w:jc w:val="center"/>
            <w:rPr>
              <w:bCs/>
              <w:position w:val="6"/>
              <w:sz w:val="16"/>
            </w:rPr>
          </w:pPr>
          <w:r>
            <w:rPr>
              <w:noProof/>
              <w:sz w:val="16"/>
              <w:lang w:eastAsia="en-GB"/>
            </w:rPr>
            <w:drawing>
              <wp:inline distT="0" distB="0" distL="0" distR="0">
                <wp:extent cx="169545" cy="13525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 cy="135255"/>
                        </a:xfrm>
                        <a:prstGeom prst="rect">
                          <a:avLst/>
                        </a:prstGeom>
                        <a:noFill/>
                        <a:ln>
                          <a:noFill/>
                        </a:ln>
                      </pic:spPr>
                    </pic:pic>
                  </a:graphicData>
                </a:graphic>
              </wp:inline>
            </w:drawing>
          </w:r>
        </w:p>
      </w:tc>
      <w:tc>
        <w:tcPr>
          <w:tcW w:w="3100" w:type="dxa"/>
        </w:tcPr>
        <w:p w:rsidR="003577F9" w:rsidRDefault="003577F9">
          <w:pPr>
            <w:pStyle w:val="Footer"/>
            <w:tabs>
              <w:tab w:val="clear" w:pos="4153"/>
              <w:tab w:val="clear" w:pos="8306"/>
            </w:tabs>
            <w:spacing w:after="0"/>
            <w:jc w:val="right"/>
            <w:rPr>
              <w:bCs/>
              <w:sz w:val="16"/>
            </w:rPr>
          </w:pPr>
        </w:p>
      </w:tc>
    </w:tr>
  </w:tbl>
  <w:p w:rsidR="003577F9" w:rsidRDefault="003577F9">
    <w:pPr>
      <w:pStyle w:val="Footer"/>
      <w:spacing w:after="0"/>
      <w:jc w:val="cen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F9" w:rsidRDefault="003577F9">
      <w:pPr>
        <w:spacing w:after="0"/>
      </w:pPr>
      <w:r>
        <w:separator/>
      </w:r>
    </w:p>
  </w:footnote>
  <w:footnote w:type="continuationSeparator" w:id="0">
    <w:p w:rsidR="003577F9" w:rsidRDefault="003577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08" w:type="dxa"/>
      <w:tblLayout w:type="fixed"/>
      <w:tblLook w:val="0000" w:firstRow="0" w:lastRow="0" w:firstColumn="0" w:lastColumn="0" w:noHBand="0" w:noVBand="0"/>
    </w:tblPr>
    <w:tblGrid>
      <w:gridCol w:w="1843"/>
      <w:gridCol w:w="1985"/>
      <w:gridCol w:w="3402"/>
      <w:gridCol w:w="2551"/>
    </w:tblGrid>
    <w:tr w:rsidR="003577F9">
      <w:trPr>
        <w:cantSplit/>
      </w:trPr>
      <w:tc>
        <w:tcPr>
          <w:tcW w:w="1843" w:type="dxa"/>
          <w:vMerge w:val="restart"/>
        </w:tcPr>
        <w:p w:rsidR="003577F9" w:rsidRDefault="003577F9">
          <w:pPr>
            <w:pStyle w:val="Header"/>
            <w:tabs>
              <w:tab w:val="clear" w:pos="4153"/>
              <w:tab w:val="clear" w:pos="8306"/>
            </w:tabs>
            <w:spacing w:after="0"/>
            <w:ind w:right="83"/>
            <w:rPr>
              <w:bCs/>
              <w:sz w:val="2"/>
            </w:rPr>
          </w:pPr>
          <w:r>
            <w:rPr>
              <w:noProof/>
              <w:sz w:val="2"/>
              <w:lang w:eastAsia="en-GB"/>
            </w:rPr>
            <w:drawing>
              <wp:anchor distT="0" distB="0" distL="114300" distR="114300" simplePos="0" relativeHeight="251657728" behindDoc="0" locked="0" layoutInCell="1" allowOverlap="1">
                <wp:simplePos x="0" y="0"/>
                <wp:positionH relativeFrom="column">
                  <wp:posOffset>-89535</wp:posOffset>
                </wp:positionH>
                <wp:positionV relativeFrom="paragraph">
                  <wp:posOffset>0</wp:posOffset>
                </wp:positionV>
                <wp:extent cx="1143000" cy="660400"/>
                <wp:effectExtent l="0" t="0" r="0" b="6350"/>
                <wp:wrapSquare wrapText="bothSides"/>
                <wp:docPr id="4" name="Picture 3" descr="OLm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msd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3577F9" w:rsidRDefault="003577F9">
          <w:pPr>
            <w:pStyle w:val="Header"/>
            <w:tabs>
              <w:tab w:val="clear" w:pos="4153"/>
              <w:tab w:val="clear" w:pos="8306"/>
            </w:tabs>
            <w:spacing w:after="0"/>
            <w:ind w:right="83"/>
            <w:rPr>
              <w:sz w:val="10"/>
            </w:rPr>
          </w:pPr>
          <w:r>
            <w:rPr>
              <w:bCs/>
              <w:sz w:val="22"/>
            </w:rPr>
            <w:t>Oaklands Road</w:t>
          </w:r>
        </w:p>
      </w:tc>
      <w:tc>
        <w:tcPr>
          <w:tcW w:w="3402" w:type="dxa"/>
        </w:tcPr>
        <w:p w:rsidR="003577F9" w:rsidRDefault="003577F9">
          <w:pPr>
            <w:pStyle w:val="Header"/>
            <w:tabs>
              <w:tab w:val="clear" w:pos="4153"/>
              <w:tab w:val="clear" w:pos="8306"/>
            </w:tabs>
            <w:spacing w:after="0"/>
            <w:rPr>
              <w:sz w:val="16"/>
            </w:rPr>
          </w:pPr>
        </w:p>
      </w:tc>
      <w:tc>
        <w:tcPr>
          <w:tcW w:w="2551" w:type="dxa"/>
        </w:tcPr>
        <w:p w:rsidR="003577F9" w:rsidRDefault="003577F9">
          <w:pPr>
            <w:pStyle w:val="Header"/>
            <w:tabs>
              <w:tab w:val="clear" w:pos="4153"/>
              <w:tab w:val="clear" w:pos="8306"/>
            </w:tabs>
            <w:spacing w:after="0"/>
            <w:jc w:val="right"/>
            <w:rPr>
              <w:sz w:val="16"/>
            </w:rPr>
          </w:pPr>
          <w:r>
            <w:rPr>
              <w:sz w:val="16"/>
            </w:rPr>
            <w:t>Switchboard: 01444 458166</w:t>
          </w:r>
        </w:p>
      </w:tc>
    </w:tr>
    <w:tr w:rsidR="003577F9">
      <w:trPr>
        <w:cantSplit/>
      </w:trPr>
      <w:tc>
        <w:tcPr>
          <w:tcW w:w="1843" w:type="dxa"/>
          <w:vMerge/>
        </w:tcPr>
        <w:p w:rsidR="003577F9" w:rsidRDefault="003577F9">
          <w:pPr>
            <w:pStyle w:val="Header"/>
            <w:tabs>
              <w:tab w:val="clear" w:pos="4153"/>
              <w:tab w:val="clear" w:pos="8306"/>
              <w:tab w:val="left" w:pos="6660"/>
              <w:tab w:val="right" w:pos="10915"/>
            </w:tabs>
            <w:spacing w:after="0"/>
            <w:ind w:right="83"/>
            <w:rPr>
              <w:bCs/>
              <w:sz w:val="22"/>
            </w:rPr>
          </w:pPr>
        </w:p>
      </w:tc>
      <w:tc>
        <w:tcPr>
          <w:tcW w:w="1985" w:type="dxa"/>
        </w:tcPr>
        <w:p w:rsidR="003577F9" w:rsidRDefault="003577F9">
          <w:pPr>
            <w:pStyle w:val="Header"/>
            <w:tabs>
              <w:tab w:val="clear" w:pos="4153"/>
              <w:tab w:val="clear" w:pos="8306"/>
            </w:tabs>
            <w:spacing w:after="0"/>
            <w:ind w:right="83"/>
            <w:rPr>
              <w:sz w:val="10"/>
            </w:rPr>
          </w:pPr>
          <w:r>
            <w:rPr>
              <w:bCs/>
              <w:sz w:val="22"/>
            </w:rPr>
            <w:t>Haywards Heath</w:t>
          </w:r>
        </w:p>
      </w:tc>
      <w:tc>
        <w:tcPr>
          <w:tcW w:w="3402" w:type="dxa"/>
        </w:tcPr>
        <w:p w:rsidR="003577F9" w:rsidRDefault="003577F9">
          <w:pPr>
            <w:pStyle w:val="Header"/>
            <w:tabs>
              <w:tab w:val="clear" w:pos="4153"/>
              <w:tab w:val="clear" w:pos="8306"/>
            </w:tabs>
            <w:spacing w:after="0"/>
            <w:rPr>
              <w:sz w:val="16"/>
            </w:rPr>
          </w:pPr>
        </w:p>
      </w:tc>
      <w:tc>
        <w:tcPr>
          <w:tcW w:w="2551" w:type="dxa"/>
        </w:tcPr>
        <w:p w:rsidR="003577F9" w:rsidRDefault="003577F9">
          <w:pPr>
            <w:pStyle w:val="Header"/>
            <w:tabs>
              <w:tab w:val="clear" w:pos="4153"/>
              <w:tab w:val="clear" w:pos="8306"/>
            </w:tabs>
            <w:spacing w:after="0"/>
            <w:jc w:val="right"/>
            <w:rPr>
              <w:sz w:val="16"/>
            </w:rPr>
          </w:pPr>
          <w:r>
            <w:rPr>
              <w:sz w:val="16"/>
            </w:rPr>
            <w:t>Fax: 01444 450027</w:t>
          </w:r>
        </w:p>
      </w:tc>
    </w:tr>
    <w:tr w:rsidR="003577F9">
      <w:trPr>
        <w:cantSplit/>
      </w:trPr>
      <w:tc>
        <w:tcPr>
          <w:tcW w:w="1843" w:type="dxa"/>
          <w:vMerge/>
        </w:tcPr>
        <w:p w:rsidR="003577F9" w:rsidRDefault="003577F9">
          <w:pPr>
            <w:pStyle w:val="Header"/>
            <w:tabs>
              <w:tab w:val="clear" w:pos="4153"/>
              <w:tab w:val="clear" w:pos="8306"/>
              <w:tab w:val="left" w:pos="6660"/>
              <w:tab w:val="right" w:pos="10915"/>
            </w:tabs>
            <w:spacing w:after="0"/>
            <w:ind w:right="83"/>
            <w:rPr>
              <w:bCs/>
              <w:sz w:val="22"/>
            </w:rPr>
          </w:pPr>
        </w:p>
      </w:tc>
      <w:tc>
        <w:tcPr>
          <w:tcW w:w="1985" w:type="dxa"/>
        </w:tcPr>
        <w:p w:rsidR="003577F9" w:rsidRDefault="003577F9">
          <w:pPr>
            <w:pStyle w:val="Header"/>
            <w:tabs>
              <w:tab w:val="clear" w:pos="4153"/>
              <w:tab w:val="clear" w:pos="8306"/>
            </w:tabs>
            <w:spacing w:after="0"/>
            <w:ind w:right="83"/>
            <w:rPr>
              <w:sz w:val="10"/>
            </w:rPr>
          </w:pPr>
          <w:r>
            <w:rPr>
              <w:bCs/>
              <w:sz w:val="22"/>
            </w:rPr>
            <w:t>West Sussex</w:t>
          </w:r>
        </w:p>
      </w:tc>
      <w:tc>
        <w:tcPr>
          <w:tcW w:w="3402" w:type="dxa"/>
        </w:tcPr>
        <w:p w:rsidR="003577F9" w:rsidRDefault="003577F9">
          <w:pPr>
            <w:pStyle w:val="Header"/>
            <w:tabs>
              <w:tab w:val="clear" w:pos="4153"/>
              <w:tab w:val="clear" w:pos="8306"/>
            </w:tabs>
            <w:spacing w:after="0"/>
            <w:rPr>
              <w:sz w:val="16"/>
            </w:rPr>
          </w:pPr>
        </w:p>
      </w:tc>
      <w:tc>
        <w:tcPr>
          <w:tcW w:w="2551" w:type="dxa"/>
        </w:tcPr>
        <w:p w:rsidR="003577F9" w:rsidRDefault="003577F9">
          <w:pPr>
            <w:pStyle w:val="Header"/>
            <w:tabs>
              <w:tab w:val="clear" w:pos="4153"/>
              <w:tab w:val="clear" w:pos="8306"/>
            </w:tabs>
            <w:spacing w:after="0"/>
            <w:jc w:val="right"/>
            <w:rPr>
              <w:sz w:val="16"/>
            </w:rPr>
          </w:pPr>
          <w:r>
            <w:rPr>
              <w:sz w:val="16"/>
            </w:rPr>
            <w:t>DX 300320 Haywards Heath 1</w:t>
          </w:r>
        </w:p>
      </w:tc>
    </w:tr>
    <w:tr w:rsidR="003577F9">
      <w:trPr>
        <w:cantSplit/>
      </w:trPr>
      <w:tc>
        <w:tcPr>
          <w:tcW w:w="1843" w:type="dxa"/>
          <w:vMerge/>
        </w:tcPr>
        <w:p w:rsidR="003577F9" w:rsidRDefault="003577F9">
          <w:pPr>
            <w:pStyle w:val="Header"/>
            <w:tabs>
              <w:tab w:val="clear" w:pos="4153"/>
              <w:tab w:val="clear" w:pos="8306"/>
              <w:tab w:val="left" w:pos="6660"/>
              <w:tab w:val="right" w:pos="10915"/>
            </w:tabs>
            <w:spacing w:after="0"/>
            <w:ind w:right="83"/>
          </w:pPr>
        </w:p>
      </w:tc>
      <w:tc>
        <w:tcPr>
          <w:tcW w:w="1985" w:type="dxa"/>
        </w:tcPr>
        <w:p w:rsidR="003577F9" w:rsidRDefault="003577F9">
          <w:pPr>
            <w:pStyle w:val="Header"/>
            <w:tabs>
              <w:tab w:val="clear" w:pos="4153"/>
              <w:tab w:val="clear" w:pos="8306"/>
            </w:tabs>
            <w:spacing w:after="0"/>
            <w:rPr>
              <w:sz w:val="10"/>
            </w:rPr>
          </w:pPr>
          <w:r>
            <w:t>RH16 1SS</w:t>
          </w:r>
        </w:p>
      </w:tc>
      <w:tc>
        <w:tcPr>
          <w:tcW w:w="3402" w:type="dxa"/>
        </w:tcPr>
        <w:p w:rsidR="003577F9" w:rsidRDefault="003577F9">
          <w:pPr>
            <w:pStyle w:val="Header"/>
            <w:tabs>
              <w:tab w:val="clear" w:pos="4153"/>
              <w:tab w:val="clear" w:pos="8306"/>
            </w:tabs>
            <w:spacing w:after="0"/>
            <w:rPr>
              <w:sz w:val="16"/>
            </w:rPr>
          </w:pPr>
        </w:p>
      </w:tc>
      <w:tc>
        <w:tcPr>
          <w:tcW w:w="2551" w:type="dxa"/>
        </w:tcPr>
        <w:p w:rsidR="003577F9" w:rsidRDefault="003577F9">
          <w:pPr>
            <w:pStyle w:val="Header"/>
            <w:tabs>
              <w:tab w:val="clear" w:pos="4153"/>
              <w:tab w:val="clear" w:pos="8306"/>
            </w:tabs>
            <w:spacing w:after="0"/>
            <w:jc w:val="right"/>
            <w:rPr>
              <w:sz w:val="16"/>
            </w:rPr>
          </w:pPr>
          <w:r>
            <w:rPr>
              <w:sz w:val="16"/>
            </w:rPr>
            <w:t>www.midsussex.gov.uk</w:t>
          </w:r>
        </w:p>
      </w:tc>
    </w:tr>
  </w:tbl>
  <w:p w:rsidR="003577F9" w:rsidRDefault="003577F9">
    <w:pPr>
      <w:pStyle w:val="Header"/>
      <w:pBdr>
        <w:bottom w:val="single" w:sz="6" w:space="0" w:color="auto"/>
      </w:pBdr>
      <w:tabs>
        <w:tab w:val="clear" w:pos="4153"/>
        <w:tab w:val="clear" w:pos="8306"/>
        <w:tab w:val="left" w:pos="3119"/>
        <w:tab w:val="left" w:pos="6660"/>
        <w:tab w:val="right" w:pos="10915"/>
      </w:tabs>
      <w:spacing w:after="0"/>
      <w:ind w:right="83"/>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intFractionalCharacterWidth/>
  <w:hideSpellingErrors/>
  <w:proofState w:spelling="clean" w:grammar="clean"/>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A7"/>
    <w:rsid w:val="00017EDC"/>
    <w:rsid w:val="000D61C4"/>
    <w:rsid w:val="001F3B29"/>
    <w:rsid w:val="0030080F"/>
    <w:rsid w:val="0030714C"/>
    <w:rsid w:val="00313EDA"/>
    <w:rsid w:val="003577F9"/>
    <w:rsid w:val="00371BED"/>
    <w:rsid w:val="00385353"/>
    <w:rsid w:val="003B42A7"/>
    <w:rsid w:val="0045027D"/>
    <w:rsid w:val="004554E1"/>
    <w:rsid w:val="004D5EBC"/>
    <w:rsid w:val="004F691C"/>
    <w:rsid w:val="0052159D"/>
    <w:rsid w:val="005952F1"/>
    <w:rsid w:val="006179A8"/>
    <w:rsid w:val="00630730"/>
    <w:rsid w:val="0063499F"/>
    <w:rsid w:val="00670B76"/>
    <w:rsid w:val="00670F56"/>
    <w:rsid w:val="00684C8E"/>
    <w:rsid w:val="006A09D1"/>
    <w:rsid w:val="006A5011"/>
    <w:rsid w:val="006D6E0A"/>
    <w:rsid w:val="006E211B"/>
    <w:rsid w:val="00747A30"/>
    <w:rsid w:val="007B7F06"/>
    <w:rsid w:val="007D7B2F"/>
    <w:rsid w:val="007E0DC0"/>
    <w:rsid w:val="008275C8"/>
    <w:rsid w:val="00864B33"/>
    <w:rsid w:val="00875B44"/>
    <w:rsid w:val="008B4258"/>
    <w:rsid w:val="008E67A2"/>
    <w:rsid w:val="008F2EEB"/>
    <w:rsid w:val="009D2016"/>
    <w:rsid w:val="009F2C32"/>
    <w:rsid w:val="00A36B86"/>
    <w:rsid w:val="00A95605"/>
    <w:rsid w:val="00AA4933"/>
    <w:rsid w:val="00AD6ADF"/>
    <w:rsid w:val="00BF099A"/>
    <w:rsid w:val="00C5616E"/>
    <w:rsid w:val="00D02118"/>
    <w:rsid w:val="00D14E10"/>
    <w:rsid w:val="00D206B9"/>
    <w:rsid w:val="00D44B8A"/>
    <w:rsid w:val="00DF7FA7"/>
    <w:rsid w:val="00E00255"/>
    <w:rsid w:val="00F56390"/>
    <w:rsid w:val="00FD4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240"/>
      <w:textAlignment w:val="baseline"/>
    </w:pPr>
    <w:rPr>
      <w:rFonts w:ascii="Arial" w:hAnsi="Arial" w:cs="Arial"/>
      <w:lang w:eastAsia="en-US"/>
    </w:rPr>
  </w:style>
  <w:style w:type="paragraph" w:styleId="Heading1">
    <w:name w:val="heading 1"/>
    <w:basedOn w:val="Normal"/>
    <w:next w:val="Normal"/>
    <w:qFormat/>
    <w:pPr>
      <w:keepNext/>
      <w:spacing w:after="0"/>
      <w:ind w:left="18" w:right="634" w:hanging="18"/>
      <w:outlineLvl w:val="0"/>
    </w:pPr>
    <w:rPr>
      <w:b/>
      <w:bCs/>
      <w:sz w:val="60"/>
    </w:rPr>
  </w:style>
  <w:style w:type="paragraph" w:styleId="Heading2">
    <w:name w:val="heading 2"/>
    <w:basedOn w:val="Normal"/>
    <w:next w:val="Normal"/>
    <w:qFormat/>
    <w:pPr>
      <w:keepNext/>
      <w:spacing w:after="0"/>
      <w:jc w:val="both"/>
      <w:outlineLvl w:val="1"/>
    </w:pPr>
    <w:rPr>
      <w:b/>
      <w:bCs/>
      <w:i/>
      <w:iCs/>
      <w:sz w:val="22"/>
    </w:rPr>
  </w:style>
  <w:style w:type="paragraph" w:styleId="Heading4">
    <w:name w:val="heading 4"/>
    <w:basedOn w:val="Normal"/>
    <w:next w:val="Normal"/>
    <w:qFormat/>
    <w:pPr>
      <w:keepNext/>
      <w:spacing w:after="100" w:afterAutospacing="1"/>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13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240"/>
      <w:textAlignment w:val="baseline"/>
    </w:pPr>
    <w:rPr>
      <w:rFonts w:ascii="Arial" w:hAnsi="Arial" w:cs="Arial"/>
      <w:lang w:eastAsia="en-US"/>
    </w:rPr>
  </w:style>
  <w:style w:type="paragraph" w:styleId="Heading1">
    <w:name w:val="heading 1"/>
    <w:basedOn w:val="Normal"/>
    <w:next w:val="Normal"/>
    <w:qFormat/>
    <w:pPr>
      <w:keepNext/>
      <w:spacing w:after="0"/>
      <w:ind w:left="18" w:right="634" w:hanging="18"/>
      <w:outlineLvl w:val="0"/>
    </w:pPr>
    <w:rPr>
      <w:b/>
      <w:bCs/>
      <w:sz w:val="60"/>
    </w:rPr>
  </w:style>
  <w:style w:type="paragraph" w:styleId="Heading2">
    <w:name w:val="heading 2"/>
    <w:basedOn w:val="Normal"/>
    <w:next w:val="Normal"/>
    <w:qFormat/>
    <w:pPr>
      <w:keepNext/>
      <w:spacing w:after="0"/>
      <w:jc w:val="both"/>
      <w:outlineLvl w:val="1"/>
    </w:pPr>
    <w:rPr>
      <w:b/>
      <w:bCs/>
      <w:i/>
      <w:iCs/>
      <w:sz w:val="22"/>
    </w:rPr>
  </w:style>
  <w:style w:type="paragraph" w:styleId="Heading4">
    <w:name w:val="heading 4"/>
    <w:basedOn w:val="Normal"/>
    <w:next w:val="Normal"/>
    <w:qFormat/>
    <w:pPr>
      <w:keepNext/>
      <w:spacing w:after="100" w:afterAutospacing="1"/>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13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Faulconbridge@midsussex.gov.uk" TargetMode="External"/><Relationship Id="rId3" Type="http://schemas.openxmlformats.org/officeDocument/2006/relationships/settings" Target="settings.xml"/><Relationship Id="rId7" Type="http://schemas.openxmlformats.org/officeDocument/2006/relationships/hyperlink" Target="mailto:parksopenspaces@midsussex.gov.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12%20press%20release%20template_with%20D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 press release template_with Di.dot</Template>
  <TotalTime>2</TotalTime>
  <Pages>3</Pages>
  <Words>766</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2008-2009 press release template</vt:lpstr>
    </vt:vector>
  </TitlesOfParts>
  <Company>Mid Sussex District Council</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 press release template</dc:title>
  <dc:creator>Martin Faulconbridge</dc:creator>
  <cp:lastModifiedBy>Martin Faulconbridge</cp:lastModifiedBy>
  <cp:revision>3</cp:revision>
  <cp:lastPrinted>2003-02-19T09:41:00Z</cp:lastPrinted>
  <dcterms:created xsi:type="dcterms:W3CDTF">2014-09-10T16:15:00Z</dcterms:created>
  <dcterms:modified xsi:type="dcterms:W3CDTF">2014-09-10T16:16:00Z</dcterms:modified>
</cp:coreProperties>
</file>